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97D04" w14:textId="77777777" w:rsidR="00F518C8" w:rsidRPr="00F518C8" w:rsidRDefault="00CB4829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Zakladateľská listina</w:t>
      </w:r>
    </w:p>
    <w:p w14:paraId="1DB97D05" w14:textId="77777777" w:rsidR="00F518C8" w:rsidRPr="00F518C8" w:rsidRDefault="00F518C8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obchodnej spoločnosti</w:t>
      </w:r>
    </w:p>
    <w:p w14:paraId="1DB97D06" w14:textId="77777777" w:rsidR="00F518C8" w:rsidRDefault="00D930BB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..........................</w:t>
      </w:r>
      <w:r w:rsidR="00F518C8" w:rsidRPr="00F5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 s.r.o.</w:t>
      </w:r>
    </w:p>
    <w:p w14:paraId="1DB97D07" w14:textId="77777777" w:rsidR="00D930BB" w:rsidRPr="00F518C8" w:rsidRDefault="00D930BB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1DB97D09" w14:textId="0A8B6304" w:rsidR="00F518C8" w:rsidRPr="00565FC1" w:rsidRDefault="00BA39A4" w:rsidP="00565FC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9A4">
        <w:rPr>
          <w:rFonts w:ascii="Times New Roman" w:hAnsi="Times New Roman" w:cs="Times New Roman"/>
          <w:sz w:val="24"/>
          <w:szCs w:val="24"/>
        </w:rPr>
        <w:t xml:space="preserve">Zakladateľ uvedený v čl. II tejto listiny týmto zakladá spoločnosť s ručením obmedzeným podľa </w:t>
      </w:r>
      <w:proofErr w:type="spellStart"/>
      <w:r w:rsidRPr="00BA39A4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BA39A4">
        <w:rPr>
          <w:rFonts w:ascii="Times New Roman" w:hAnsi="Times New Roman" w:cs="Times New Roman"/>
          <w:sz w:val="24"/>
          <w:szCs w:val="24"/>
        </w:rPr>
        <w:t>. § 105 a </w:t>
      </w:r>
      <w:proofErr w:type="spellStart"/>
      <w:r w:rsidRPr="00BA39A4">
        <w:rPr>
          <w:rFonts w:ascii="Times New Roman" w:hAnsi="Times New Roman" w:cs="Times New Roman"/>
          <w:sz w:val="24"/>
          <w:szCs w:val="24"/>
        </w:rPr>
        <w:t>nasl</w:t>
      </w:r>
      <w:proofErr w:type="spellEnd"/>
      <w:r w:rsidRPr="00BA39A4">
        <w:rPr>
          <w:rFonts w:ascii="Times New Roman" w:hAnsi="Times New Roman" w:cs="Times New Roman"/>
          <w:sz w:val="24"/>
          <w:szCs w:val="24"/>
        </w:rPr>
        <w:t>. v spojení s </w:t>
      </w:r>
      <w:proofErr w:type="spellStart"/>
      <w:r w:rsidRPr="00BA39A4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BA39A4">
        <w:rPr>
          <w:rFonts w:ascii="Times New Roman" w:hAnsi="Times New Roman" w:cs="Times New Roman"/>
          <w:sz w:val="24"/>
          <w:szCs w:val="24"/>
        </w:rPr>
        <w:t>. § 57 ods. 3 zák. č. 513/1991 Zb. Obchodný zákonník v znení neskorších predpisov (ďalej len „Obchodný zákonník“).</w:t>
      </w:r>
    </w:p>
    <w:p w14:paraId="1DB97D0A" w14:textId="77777777" w:rsidR="00F518C8" w:rsidRPr="00F518C8" w:rsidRDefault="00F518C8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I</w:t>
      </w:r>
    </w:p>
    <w:p w14:paraId="1DB97D0B" w14:textId="77777777" w:rsidR="00F518C8" w:rsidRPr="00F518C8" w:rsidRDefault="00F518C8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Obchodné meno a sídlo</w:t>
      </w:r>
    </w:p>
    <w:p w14:paraId="1DB97D0C" w14:textId="77777777" w:rsidR="00F518C8" w:rsidRPr="00F518C8" w:rsidRDefault="00F518C8" w:rsidP="00565FC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hodné meno spoločnosti je:</w:t>
      </w:r>
      <w:r w:rsidR="00B409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...........................</w:t>
      </w: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s.r.o.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(ďalej aj len „spoločnosť“)</w:t>
      </w: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1DB97D0D" w14:textId="77777777" w:rsidR="00F518C8" w:rsidRDefault="00F518C8" w:rsidP="00565FC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Sídlom spoločnosti je: </w:t>
      </w:r>
      <w:r w:rsidR="00B409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</w:t>
      </w:r>
    </w:p>
    <w:p w14:paraId="4BC28328" w14:textId="2CCF46D4" w:rsidR="00565FC1" w:rsidRDefault="00F518C8" w:rsidP="00565FC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Spoločnosť preukazuje užívacie právo k sídlu spoločnosti, a to na základe nájomnej zmluvy zo dňa ......</w:t>
      </w:r>
      <w:r w:rsidR="00B409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uzavretej medzi ................</w:t>
      </w:r>
      <w:r w:rsidR="00B409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ako prenajímateľom a spoločnosťou ako nájomcom.</w:t>
      </w:r>
    </w:p>
    <w:p w14:paraId="2977E4D2" w14:textId="77777777" w:rsidR="005E0D26" w:rsidRDefault="005E0D26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DB97D10" w14:textId="71DC3F5E" w:rsidR="00F518C8" w:rsidRPr="00F518C8" w:rsidRDefault="00F518C8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II</w:t>
      </w:r>
    </w:p>
    <w:p w14:paraId="1DB97D11" w14:textId="77777777" w:rsidR="00F518C8" w:rsidRPr="00F518C8" w:rsidRDefault="00F518C8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Spoloční</w:t>
      </w:r>
      <w:r w:rsidR="00BA39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</w:t>
      </w:r>
    </w:p>
    <w:p w14:paraId="1DB97D12" w14:textId="77777777" w:rsidR="00F518C8" w:rsidRPr="00F518C8" w:rsidRDefault="00C1308D" w:rsidP="00565FC1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Spoločníkom spoločnosti je</w:t>
      </w:r>
      <w:r w:rsidR="00F518C8"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:</w:t>
      </w:r>
    </w:p>
    <w:p w14:paraId="05CA2AD5" w14:textId="6F702CC0" w:rsidR="00565FC1" w:rsidRPr="00565FC1" w:rsidRDefault="00F518C8" w:rsidP="00565FC1">
      <w:pPr>
        <w:pStyle w:val="Odsekzoznamu"/>
        <w:numPr>
          <w:ilvl w:val="1"/>
          <w:numId w:val="3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565FC1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................................................................... (Meno a priezvisko, dátum narodenia, rod. č. a adresa trvalého pobytu spoločníka</w:t>
      </w:r>
      <w:r w:rsidR="00B4096B" w:rsidRPr="00565FC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</w:p>
    <w:p w14:paraId="3CEA505E" w14:textId="77777777" w:rsidR="005E0D26" w:rsidRDefault="005E0D26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DB97D15" w14:textId="779226E0" w:rsidR="00F518C8" w:rsidRPr="00F518C8" w:rsidRDefault="00F518C8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III</w:t>
      </w:r>
    </w:p>
    <w:p w14:paraId="1DB97D16" w14:textId="77777777" w:rsidR="00F518C8" w:rsidRPr="00F518C8" w:rsidRDefault="00F518C8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podnikania</w:t>
      </w:r>
    </w:p>
    <w:p w14:paraId="1DB97D17" w14:textId="77777777" w:rsidR="00F518C8" w:rsidRPr="00F518C8" w:rsidRDefault="00F518C8" w:rsidP="00565FC1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Predmetom podnikania spoločnosti je:</w:t>
      </w:r>
    </w:p>
    <w:p w14:paraId="1DB97D18" w14:textId="77777777" w:rsidR="00F518C8" w:rsidRPr="00F518C8" w:rsidRDefault="00FE0798" w:rsidP="00565FC1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</w:t>
      </w:r>
    </w:p>
    <w:p w14:paraId="1DB97D19" w14:textId="77777777" w:rsidR="00FE0798" w:rsidRPr="00F518C8" w:rsidRDefault="00FE0798" w:rsidP="00565FC1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</w:t>
      </w:r>
    </w:p>
    <w:p w14:paraId="1DB97D1A" w14:textId="77777777" w:rsidR="00FE0798" w:rsidRPr="00F518C8" w:rsidRDefault="00FE0798" w:rsidP="00565FC1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</w:t>
      </w:r>
    </w:p>
    <w:p w14:paraId="1DB97D1B" w14:textId="77777777" w:rsidR="00FE0798" w:rsidRPr="00F518C8" w:rsidRDefault="00FE0798" w:rsidP="00565FC1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</w:t>
      </w:r>
    </w:p>
    <w:p w14:paraId="1DB97D1C" w14:textId="77777777" w:rsidR="00FE0798" w:rsidRPr="00F518C8" w:rsidRDefault="00FE0798" w:rsidP="00565FC1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</w:t>
      </w:r>
    </w:p>
    <w:p w14:paraId="2A11DA35" w14:textId="77777777" w:rsidR="00565FC1" w:rsidRDefault="00565FC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 w:type="page"/>
      </w:r>
      <w:bookmarkStart w:id="0" w:name="_GoBack"/>
      <w:bookmarkEnd w:id="0"/>
    </w:p>
    <w:p w14:paraId="1DB97D1E" w14:textId="4156629C" w:rsidR="00F518C8" w:rsidRPr="00F518C8" w:rsidRDefault="00F518C8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Článok IV</w:t>
      </w:r>
    </w:p>
    <w:p w14:paraId="1DB97D1F" w14:textId="77777777" w:rsidR="00F518C8" w:rsidRPr="00F518C8" w:rsidRDefault="00F518C8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Základné imanie, vklady spoločníkov a správca vkladu</w:t>
      </w:r>
    </w:p>
    <w:p w14:paraId="1DB97D20" w14:textId="77777777" w:rsidR="00F518C8" w:rsidRPr="00F518C8" w:rsidRDefault="00F518C8" w:rsidP="00565FC1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Základné imanie spoločnosti je </w:t>
      </w:r>
      <w:r w:rsidR="00C130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</w:t>
      </w: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FE07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</w:t>
      </w: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(slovom </w:t>
      </w:r>
      <w:r w:rsidR="00C130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.............. </w:t>
      </w: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eur).</w:t>
      </w:r>
    </w:p>
    <w:p w14:paraId="1DB97D21" w14:textId="77777777" w:rsidR="00F518C8" w:rsidRPr="00F518C8" w:rsidRDefault="00F518C8" w:rsidP="00565FC1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Základné imanie </w:t>
      </w:r>
      <w:r w:rsidR="00C130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spoločnosti je tvorené peňažným vkladom spoločníka</w:t>
      </w: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základného imania </w:t>
      </w:r>
      <w:r w:rsidR="00B409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poločnosti</w:t>
      </w:r>
      <w:r w:rsidR="00B409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V</w:t>
      </w: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ýška vkladu </w:t>
      </w:r>
      <w:r w:rsidR="00C130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spoločníka a rozsah jeho</w:t>
      </w: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splatenia je nasledovný:</w:t>
      </w:r>
    </w:p>
    <w:p w14:paraId="1DB97D22" w14:textId="77777777" w:rsidR="00F518C8" w:rsidRPr="006D3FF7" w:rsidRDefault="006D3FF7" w:rsidP="00565FC1">
      <w:pPr>
        <w:pStyle w:val="Odsekzoznamu"/>
        <w:numPr>
          <w:ilvl w:val="1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..................... </w:t>
      </w:r>
      <w:r w:rsidRPr="006D3F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(Meno a priezvisko spoločníka)</w:t>
      </w:r>
      <w:r w:rsidR="00F518C8"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peňažný vklad vo výške 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  eur (slovom: ............... eur) ,</w:t>
      </w:r>
      <w:r w:rsidR="00B409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splatený vo</w:t>
      </w:r>
      <w:r w:rsidR="00F518C8"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výške 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 eur (slovom: ............... eur)</w:t>
      </w:r>
      <w:r w:rsidR="00F518C8"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</w:p>
    <w:p w14:paraId="1DB97D23" w14:textId="77777777" w:rsidR="00B4096B" w:rsidRDefault="00B4096B" w:rsidP="00565FC1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Splatené vklady predstavujú 100 % základného imania spoločnosti.</w:t>
      </w:r>
    </w:p>
    <w:p w14:paraId="1DB97D24" w14:textId="77777777" w:rsidR="00F518C8" w:rsidRPr="00B4096B" w:rsidRDefault="00C1308D" w:rsidP="00565FC1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Správou vkladu</w:t>
      </w:r>
      <w:r w:rsidR="00F518C8" w:rsidRPr="00B409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 základného imania spoločnosti do vzniku spoločnosti bude poverený </w:t>
      </w:r>
      <w:r w:rsidR="00BA39A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</w:t>
      </w:r>
      <w:r w:rsidR="00074547" w:rsidRPr="00B409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............................. </w:t>
      </w:r>
    </w:p>
    <w:p w14:paraId="1DB97D25" w14:textId="77777777" w:rsidR="00B4096B" w:rsidRDefault="00B4096B" w:rsidP="00565FC1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409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Správca</w:t>
      </w:r>
      <w:r w:rsid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určený v bode 4 tohto článku zmluvy</w:t>
      </w:r>
      <w:r w:rsidRPr="00B409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povinný prijať od spoločník</w:t>
      </w:r>
      <w:r w:rsidR="00C130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B409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vložený peňažný vklad a vydať písomné potvrdenie o splatení vkladu spoločníkovi.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 vzniku spoločnosti je</w:t>
      </w:r>
      <w:r w:rsidR="00C130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správca povinný odovzdať vklad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bez zbytočného odkladu spoločnosti. </w:t>
      </w:r>
    </w:p>
    <w:p w14:paraId="1DB97D27" w14:textId="232294C6" w:rsidR="00B4096B" w:rsidRDefault="00C1308D" w:rsidP="00565FC1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Spoločník nie je oprávnený</w:t>
      </w:r>
      <w:r w:rsidR="00E62D99"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 dobu trvania spoločnosti žiadať od spoločnosti vrátenie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jeho</w:t>
      </w:r>
      <w:r w:rsidR="00E62D99"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vkladu do základného imania spoločnosti.</w:t>
      </w:r>
    </w:p>
    <w:p w14:paraId="03161AB3" w14:textId="77777777" w:rsidR="005E0D26" w:rsidRDefault="005E0D26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DB97D28" w14:textId="3AE52054" w:rsidR="00F518C8" w:rsidRPr="00B4096B" w:rsidRDefault="00F518C8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B40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V</w:t>
      </w:r>
    </w:p>
    <w:p w14:paraId="1DB97D29" w14:textId="77777777" w:rsidR="00F518C8" w:rsidRPr="00F518C8" w:rsidRDefault="00F518C8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Obchodný podiel a podiel na zisku</w:t>
      </w:r>
    </w:p>
    <w:p w14:paraId="1DB97D2A" w14:textId="77777777" w:rsidR="00C1308D" w:rsidRDefault="00F518C8" w:rsidP="00565FC1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D18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Obchodný podiel predstavuje práva a povinnosti spoločníka a im zodpovedajúcu účasť na spoločnosti. </w:t>
      </w:r>
      <w:r w:rsidR="00AD18D4" w:rsidRPr="00AD18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Výška obchodného podielu sa u</w:t>
      </w:r>
      <w:r w:rsidR="00E324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rčuje pomerom vkladu spoločníka</w:t>
      </w:r>
      <w:r w:rsidR="00AD18D4" w:rsidRPr="00AD18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k základnému imaniu.</w:t>
      </w:r>
    </w:p>
    <w:p w14:paraId="1DB97D2B" w14:textId="77777777" w:rsidR="00C1308D" w:rsidRPr="00C1308D" w:rsidRDefault="00C1308D" w:rsidP="00565FC1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130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Spoločník môže mať iba jeden obchodný podiel. Pokiaľ sa spoločník zúčastňuje ďalším vkladom, zvyšuje sa jeho obchodný podiel v pomere zodpovedajúcom výške ďalšieho vkladu.</w:t>
      </w:r>
    </w:p>
    <w:p w14:paraId="1DB97D2C" w14:textId="77777777" w:rsidR="00F518C8" w:rsidRPr="00AD18D4" w:rsidRDefault="00F518C8" w:rsidP="00565FC1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D18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Obchodný podiel sa dedí.</w:t>
      </w:r>
    </w:p>
    <w:p w14:paraId="1DB97D2D" w14:textId="77777777" w:rsidR="00FA0283" w:rsidRPr="00FA0283" w:rsidRDefault="00F518C8" w:rsidP="00565FC1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Prevod obchodného podielu na inú osobu </w:t>
      </w:r>
      <w:r w:rsidR="00AD18D4"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možný. Nie je potrebný predchádzajúci súhlas</w:t>
      </w: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valného zhromaždenia</w:t>
      </w:r>
      <w:r w:rsidR="00E62D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prevod obchodného podielu na inú osobu</w:t>
      </w:r>
      <w:r w:rsid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Účinky prevodu obchodného podielu nastávajú voči spoločnosti odo dňa doručenia </w:t>
      </w:r>
      <w:r w:rsidR="00E62D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zmluvy o prevode obchodného podielu </w:t>
      </w: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spoločnosti, ak však nenastanú až s neskoršou účinnosťou zmluvy. </w:t>
      </w:r>
    </w:p>
    <w:p w14:paraId="1DB97D2E" w14:textId="77777777" w:rsidR="00F518C8" w:rsidRDefault="00F518C8" w:rsidP="00565FC1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Spoločnosť nemôže nadobúdať vlastné obchodné podiely.</w:t>
      </w:r>
    </w:p>
    <w:p w14:paraId="1DB97D2F" w14:textId="77777777" w:rsidR="00BB3407" w:rsidRPr="00AD18D4" w:rsidRDefault="00BB3407" w:rsidP="00565FC1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Spoločník má</w:t>
      </w:r>
      <w:r w:rsidRPr="00AD18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nárok na podiel na 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isku v pomere zodpovedajúcom jeho splatenému vkladu</w:t>
      </w:r>
      <w:r w:rsidRPr="00AD18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1DB97D31" w14:textId="38E0EABD" w:rsidR="00F518C8" w:rsidRPr="000E1277" w:rsidRDefault="00BB3407" w:rsidP="000E1277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D18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Podiel na zisku sa určuje na základe ročnej závierky.</w:t>
      </w:r>
    </w:p>
    <w:p w14:paraId="2DE50B3F" w14:textId="77777777" w:rsidR="005E0D26" w:rsidRDefault="005E0D26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DB97D32" w14:textId="28A3C5B9" w:rsidR="00F518C8" w:rsidRPr="00B82201" w:rsidRDefault="00F518C8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VI</w:t>
      </w:r>
    </w:p>
    <w:p w14:paraId="1DB97D33" w14:textId="77777777" w:rsidR="00F518C8" w:rsidRPr="00B82201" w:rsidRDefault="00F518C8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Orgány spoločnosti</w:t>
      </w:r>
    </w:p>
    <w:p w14:paraId="1DB97D34" w14:textId="77777777" w:rsidR="00F518C8" w:rsidRPr="00B82201" w:rsidRDefault="00F518C8" w:rsidP="00565FC1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Orgánmi spoločnosti sú:</w:t>
      </w:r>
    </w:p>
    <w:p w14:paraId="1DB97D35" w14:textId="77777777" w:rsidR="00F518C8" w:rsidRPr="00B82201" w:rsidRDefault="00E32404" w:rsidP="00565FC1">
      <w:pPr>
        <w:numPr>
          <w:ilvl w:val="1"/>
          <w:numId w:val="1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konateľ</w:t>
      </w:r>
      <w:r w:rsidR="00AD18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spoločnosti</w:t>
      </w:r>
      <w:r w:rsidR="00F518C8"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1DB97D36" w14:textId="77777777" w:rsidR="00F518C8" w:rsidRPr="00B82201" w:rsidRDefault="00B82201" w:rsidP="00565FC1">
      <w:pPr>
        <w:numPr>
          <w:ilvl w:val="1"/>
          <w:numId w:val="1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valné zhromaždenie.</w:t>
      </w:r>
    </w:p>
    <w:p w14:paraId="1DB97D38" w14:textId="0B362979" w:rsidR="00E74381" w:rsidRPr="000E1277" w:rsidRDefault="00B82201" w:rsidP="00565FC1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Nezriaďuje sa dozorná rada spoločnosti.</w:t>
      </w:r>
    </w:p>
    <w:p w14:paraId="1643CC7D" w14:textId="77777777" w:rsidR="005E0D26" w:rsidRDefault="005E0D26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DB97D39" w14:textId="46ED3CD7" w:rsidR="00F518C8" w:rsidRPr="006A65BC" w:rsidRDefault="00F518C8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6A6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VII</w:t>
      </w:r>
    </w:p>
    <w:p w14:paraId="1DB97D3A" w14:textId="77777777" w:rsidR="00F518C8" w:rsidRPr="006A65BC" w:rsidRDefault="00FA0283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Konateľ</w:t>
      </w:r>
      <w:r w:rsidR="00F518C8" w:rsidRPr="006A6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spoločnosti</w:t>
      </w:r>
    </w:p>
    <w:p w14:paraId="1DB97D3B" w14:textId="77777777" w:rsidR="006A65BC" w:rsidRPr="006A65BC" w:rsidRDefault="006A65BC" w:rsidP="00565FC1">
      <w:pPr>
        <w:pStyle w:val="Odsekzoznamu"/>
        <w:numPr>
          <w:ilvl w:val="1"/>
          <w:numId w:val="11"/>
        </w:numPr>
        <w:shd w:val="clear" w:color="auto" w:fill="FFFFFF"/>
        <w:tabs>
          <w:tab w:val="clear" w:pos="1440"/>
          <w:tab w:val="num" w:pos="709"/>
        </w:tabs>
        <w:spacing w:before="100" w:beforeAutospacing="1" w:after="0" w:line="360" w:lineRule="auto"/>
        <w:ind w:hanging="11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Prvým konateľom spoločnosti je: </w:t>
      </w:r>
    </w:p>
    <w:p w14:paraId="1DB97D3C" w14:textId="77777777" w:rsidR="006A65BC" w:rsidRPr="006A65BC" w:rsidRDefault="006A65BC" w:rsidP="00565FC1">
      <w:pPr>
        <w:pStyle w:val="Odsekzoznamu"/>
        <w:numPr>
          <w:ilvl w:val="1"/>
          <w:numId w:val="2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65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.................................................................. (Meno a priezvisko, dátum narodenia, rod. č. a adresa trvalého pobytu </w:t>
      </w:r>
      <w:r w:rsidR="00E62D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prvého </w:t>
      </w:r>
      <w:r w:rsidRPr="006A65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konateľa).</w:t>
      </w:r>
    </w:p>
    <w:p w14:paraId="1DB97D3D" w14:textId="77777777" w:rsidR="00F518C8" w:rsidRPr="006A65BC" w:rsidRDefault="00F518C8" w:rsidP="00565FC1">
      <w:pPr>
        <w:pStyle w:val="Odsekzoznamu"/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mene spoločnosti koná a podpisuje konateľ samostatne.</w:t>
      </w:r>
    </w:p>
    <w:p w14:paraId="1DB97D3E" w14:textId="77777777" w:rsidR="00F518C8" w:rsidRPr="00FA0283" w:rsidRDefault="00FA0283" w:rsidP="00565FC1">
      <w:pPr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Prvý konateľ je p</w:t>
      </w:r>
      <w:r w:rsidR="00F518C8"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ri založení spoločnosti </w:t>
      </w: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ustanovený</w:t>
      </w:r>
      <w:r w:rsidR="00F518C8"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priamo v</w:t>
      </w:r>
      <w:r w:rsidR="00E3240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zakladateľskej listine</w:t>
      </w: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spoločnosti. Neskôr bude konateľ spoločnosti</w:t>
      </w:r>
      <w:r w:rsidR="00F518C8"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men</w:t>
      </w: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ovaný a odvolávaný na základe rozhodnutia</w:t>
      </w:r>
      <w:r w:rsidR="00F518C8"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valného zhromaždenia.</w:t>
      </w:r>
      <w:r w:rsid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33CC7"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 vzniku spoločnosti nadobúda nový konateľ oprávnenie konať v mene spoločnosti dňom prijatia uznesenia valného zhromaždenia o odvolaní pôvodného konateľa a voľbe nového konateľa.</w:t>
      </w:r>
      <w:r w:rsid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33CC7"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Nový konateľ je povinný pred zápisom zmeny </w:t>
      </w:r>
      <w:r w:rsid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osobe konateľa </w:t>
      </w:r>
      <w:r w:rsidR="00A33CC7"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 obchodného registra oznámiť zmenu štatutárneho orgánu spoločnosti obchodným partnerom</w:t>
      </w:r>
      <w:r w:rsidR="008249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spoločnosti</w:t>
      </w:r>
      <w:r w:rsidR="00A33CC7"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pri uzavieraní zmlúv upozorniť </w:t>
      </w:r>
      <w:r w:rsid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druhú zmluvnú stranu </w:t>
      </w:r>
      <w:r w:rsidR="00A33CC7"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zmenu</w:t>
      </w:r>
      <w:r w:rsid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štatutárneho orgánu spoločnosti</w:t>
      </w:r>
      <w:r w:rsidR="00A33CC7"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a to predložením výpisu uznesenia valného zhromaždenia o vykonanej zmene konateľov.</w:t>
      </w:r>
    </w:p>
    <w:p w14:paraId="1DB97D3F" w14:textId="77777777" w:rsidR="00F518C8" w:rsidRPr="006A65BC" w:rsidRDefault="006A65BC" w:rsidP="00565FC1">
      <w:pPr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Konateľ je povinný</w:t>
      </w:r>
      <w:r w:rsidR="00F518C8"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vykonávať svoju pôsobnosť s odbornou starostlivosťou a v súlade so záujmami spoločnosti a jej spoločníkov.</w:t>
      </w:r>
    </w:p>
    <w:p w14:paraId="1DB97D40" w14:textId="77777777" w:rsidR="00F518C8" w:rsidRDefault="00FA0283" w:rsidP="00565FC1">
      <w:pPr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Konateľ je povinný</w:t>
      </w:r>
      <w:r w:rsidR="00F518C8"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 každej zmene </w:t>
      </w:r>
      <w:r w:rsidR="00E743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zakladateľskej listiny</w:t>
      </w:r>
      <w:r w:rsidR="00F518C8"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spoločnosti vyhotoviť jej nové úplné znenie</w:t>
      </w: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ktoré je povi</w:t>
      </w:r>
      <w:r w:rsidR="00B465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nný uložiť aj do zbierky listín</w:t>
      </w: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obchodného registra </w:t>
      </w: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vedeného príslušným súdom. Konateľ zodpovedá za správnosť a úplnosť nového úplného znenia </w:t>
      </w:r>
      <w:r w:rsidR="003C7E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zakladateľskej listiny</w:t>
      </w:r>
      <w:r w:rsidR="00F518C8"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14:paraId="1DB97D41" w14:textId="77777777" w:rsidR="00DA67C5" w:rsidRPr="00792E41" w:rsidRDefault="00DA67C5" w:rsidP="00565FC1">
      <w:pPr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Konateľ je oprávnený vymenovať a odvolať prokuristu</w:t>
      </w:r>
      <w:r w:rsid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B465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ako aj určiť rozsah</w:t>
      </w:r>
      <w:r w:rsidR="00792E41"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jeho oprávnenia konať a podpisovať v mene spoločnosti</w:t>
      </w: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1DB97D42" w14:textId="77777777" w:rsidR="00F518C8" w:rsidRPr="00792E41" w:rsidRDefault="006A65BC" w:rsidP="00565FC1">
      <w:pPr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rámci svojej pôsobnosti je konateľ povinný</w:t>
      </w:r>
      <w:r w:rsidR="00F518C8"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najmä:</w:t>
      </w:r>
    </w:p>
    <w:p w14:paraId="1DB97D43" w14:textId="77777777" w:rsidR="00F518C8" w:rsidRPr="006A65BC" w:rsidRDefault="00F518C8" w:rsidP="00565FC1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zabezpečiť riadne vedenie účtovníctva a predpísanej evidencie spoločnosti,</w:t>
      </w:r>
    </w:p>
    <w:p w14:paraId="1DB97D44" w14:textId="77777777" w:rsidR="006A65BC" w:rsidRPr="006A65BC" w:rsidRDefault="006A65BC" w:rsidP="00565FC1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viesť zoznam spoločníkov, </w:t>
      </w:r>
    </w:p>
    <w:p w14:paraId="1DB97D45" w14:textId="77777777" w:rsidR="00F518C8" w:rsidRPr="006A65BC" w:rsidRDefault="00BB3407" w:rsidP="00565FC1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informovať spoločníka</w:t>
      </w:r>
      <w:r w:rsidR="00F518C8"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</w:t>
      </w:r>
      <w:r w:rsidR="006A65BC"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záležitostiach</w:t>
      </w:r>
      <w:r w:rsidR="00F518C8"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spoločnosti,</w:t>
      </w:r>
    </w:p>
    <w:p w14:paraId="1DB97D46" w14:textId="77777777" w:rsidR="00F518C8" w:rsidRPr="00DA67C5" w:rsidRDefault="00F518C8" w:rsidP="00565FC1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A67C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vykonávať všetky práva a povinnosti zamestnávateľa</w:t>
      </w:r>
      <w:r w:rsidR="00DA67C5" w:rsidRPr="00DA67C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voči zamestnancom spoločnosti</w:t>
      </w:r>
      <w:r w:rsidRPr="00DA67C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1DB97D47" w14:textId="77777777" w:rsidR="00F518C8" w:rsidRPr="006A65BC" w:rsidRDefault="00F518C8" w:rsidP="00565FC1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zaobstarať si a pri rozhodovaní zohľadniť všetky dostupné informácie týkajúce sa predmetu podnikania,</w:t>
      </w:r>
    </w:p>
    <w:p w14:paraId="1DB97D48" w14:textId="77777777" w:rsidR="00A33CC7" w:rsidRPr="00A33CC7" w:rsidRDefault="00A33CC7" w:rsidP="00565FC1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predložiť valnému zhromaždeniu na schválenie riadnu individuálnu účtovnú závierku a mimoriadnu účtovnú závierku,</w:t>
      </w:r>
    </w:p>
    <w:p w14:paraId="1DB97D49" w14:textId="77777777" w:rsidR="00A33CC7" w:rsidRPr="00A33CC7" w:rsidRDefault="00A33CC7" w:rsidP="00565FC1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ložiť</w:t>
      </w: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valnému zhromaždeniu návrh na rozdelenie zisku alebo úhradu strát za podmienok ustanovených v tejto </w:t>
      </w:r>
      <w:r w:rsidR="003C7E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zakladateľskej listine</w:t>
      </w: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1DB97D4A" w14:textId="77777777" w:rsidR="00A33CC7" w:rsidRDefault="00A33CC7" w:rsidP="00565FC1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predložiť</w:t>
      </w: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valnému zhromaždeniu nový podnikateľský zámer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schválenie,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prípade, ak</w:t>
      </w: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dochádza k zmene alebo rozšíreniu predmetu podnikania,</w:t>
      </w:r>
    </w:p>
    <w:p w14:paraId="1DB97D4B" w14:textId="77777777" w:rsidR="00F518C8" w:rsidRPr="006A65BC" w:rsidRDefault="00F518C8" w:rsidP="00565FC1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zachovávať mlčanlivosť o dôverných informáciách a skutočnostiach, ktorých prezradenie tretím osobám by mohlo spoločnosti spôsobiť škodu alebo ohroziť jej záujmy alebo záujmy jej spoločníkov,</w:t>
      </w:r>
    </w:p>
    <w:p w14:paraId="1DB97D4C" w14:textId="77777777" w:rsidR="00DA67C5" w:rsidRDefault="006A65BC" w:rsidP="00565FC1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nes</w:t>
      </w:r>
      <w:r w:rsid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mie</w:t>
      </w:r>
      <w:r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uprednostňovať svoje záujmy, záujmy spoločníkov alebo záujmy tretích osôb pred záujmami spoločnosti</w:t>
      </w:r>
      <w:r w:rsidR="00DA67C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1DB97D4D" w14:textId="77777777" w:rsidR="00A33CC7" w:rsidRDefault="00A33CC7" w:rsidP="00565FC1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povinný upozorniť spoločnosť na to, že</w:t>
      </w: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valné zhromaždenie prijal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uznesenie, ktoré je podľa neho</w:t>
      </w: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rozpore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 právnymi predpismi</w:t>
      </w: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vnútornými predpismi spoločnosti a svoje upozornenie odôvodniť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1DB97D4E" w14:textId="77777777" w:rsidR="006A65BC" w:rsidRPr="00DA67C5" w:rsidRDefault="00DA67C5" w:rsidP="00565FC1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A67C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vykonávať všetky práva a povinnosti, ktoré sú v zmysle právnych predpisov  vyhradené štatutárnemu orgánu spoločnosti</w:t>
      </w:r>
      <w:r w:rsidR="006A65BC" w:rsidRPr="00DA67C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1DB97D4F" w14:textId="77777777" w:rsidR="00F518C8" w:rsidRPr="00B82201" w:rsidRDefault="00F518C8" w:rsidP="00565FC1">
      <w:pPr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Konateľ </w:t>
      </w:r>
      <w:r w:rsidR="00B82201" w:rsidRPr="00B82201">
        <w:rPr>
          <w:rFonts w:ascii="Times New Roman" w:eastAsia="Times New Roman" w:hAnsi="Times New Roman" w:cs="Times New Roman"/>
          <w:sz w:val="24"/>
          <w:szCs w:val="24"/>
          <w:lang w:eastAsia="sk-SK"/>
        </w:rPr>
        <w:t>je povinný dodržať zákaz konkurencie uvedený</w:t>
      </w:r>
      <w:r w:rsidRPr="00B82201">
        <w:rPr>
          <w:rFonts w:ascii="Times New Roman" w:eastAsia="Times New Roman" w:hAnsi="Times New Roman" w:cs="Times New Roman"/>
          <w:sz w:val="24"/>
          <w:szCs w:val="24"/>
          <w:lang w:eastAsia="sk-SK"/>
        </w:rPr>
        <w:t> § 136 Obchodného zákonníka</w:t>
      </w:r>
      <w:r w:rsidR="00B82201" w:rsidRPr="00B822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Konateľ </w:t>
      </w:r>
      <w:r w:rsidRPr="00B822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nesmie:</w:t>
      </w:r>
    </w:p>
    <w:p w14:paraId="1DB97D50" w14:textId="77777777" w:rsidR="00F518C8" w:rsidRPr="00B82201" w:rsidRDefault="00F518C8" w:rsidP="00565FC1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sz w:val="24"/>
          <w:szCs w:val="24"/>
          <w:lang w:eastAsia="sk-SK"/>
        </w:rPr>
        <w:t>vo vlastnom mene alebo na vlastný účet uzavierať obchody, ktoré súvisia s podnikateľskou činnosťou spoločnosti;</w:t>
      </w:r>
    </w:p>
    <w:p w14:paraId="1DB97D51" w14:textId="77777777" w:rsidR="00F518C8" w:rsidRPr="00B82201" w:rsidRDefault="00F518C8" w:rsidP="00565FC1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sz w:val="24"/>
          <w:szCs w:val="24"/>
          <w:lang w:eastAsia="sk-SK"/>
        </w:rPr>
        <w:t>sprostredkúvať pre iné osoby obchody spoločnosti;</w:t>
      </w:r>
    </w:p>
    <w:p w14:paraId="1DB97D52" w14:textId="77777777" w:rsidR="00F518C8" w:rsidRPr="00B82201" w:rsidRDefault="00F518C8" w:rsidP="00565FC1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zúčastňovať sa na podnikaní inej spoločnosti ako spoločník s neobmedzeným ručením;</w:t>
      </w:r>
    </w:p>
    <w:p w14:paraId="1DB97D53" w14:textId="77777777" w:rsidR="00F518C8" w:rsidRPr="00B82201" w:rsidRDefault="00F518C8" w:rsidP="00565FC1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vykonávať činnosť ako štatutárny orgán alebo člen štatutárneho orgánu inej právnickej osoby s podobným predmetom podnikania, ibaže ide o právnickú osobu, na ktorej podnikaní sa zúčastňuje spoločnosť.</w:t>
      </w:r>
    </w:p>
    <w:p w14:paraId="3B00CCA9" w14:textId="77777777" w:rsidR="005E0D26" w:rsidRDefault="005E0D26" w:rsidP="005E0D2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DB97D55" w14:textId="173DDAD5" w:rsidR="00F518C8" w:rsidRPr="00792E41" w:rsidRDefault="00F518C8" w:rsidP="005E0D2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VIII</w:t>
      </w:r>
    </w:p>
    <w:p w14:paraId="1DB97D56" w14:textId="77777777" w:rsidR="00F518C8" w:rsidRPr="00792E41" w:rsidRDefault="00F518C8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Valné zhromaždenie</w:t>
      </w:r>
    </w:p>
    <w:p w14:paraId="1DB97D57" w14:textId="77777777" w:rsidR="00F92262" w:rsidRDefault="00F92262" w:rsidP="00565FC1">
      <w:pPr>
        <w:pStyle w:val="Odsekzoznamu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DB97D58" w14:textId="77777777" w:rsidR="00F518C8" w:rsidRPr="00F92262" w:rsidRDefault="00F518C8" w:rsidP="00565FC1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9226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Valné zhromaždenie je najvyšším orgánom spoločnosti.</w:t>
      </w:r>
      <w:r w:rsidR="00F92262" w:rsidRPr="00F9226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Pôsobnosť valného zhromaždenia vykonáva jediný spoločník spoločnosti uvedený v č. II bode 1.1 tejto listiny v súlade s </w:t>
      </w:r>
      <w:proofErr w:type="spellStart"/>
      <w:r w:rsidR="00F92262" w:rsidRPr="00F9226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ust</w:t>
      </w:r>
      <w:proofErr w:type="spellEnd"/>
      <w:r w:rsidR="00F92262" w:rsidRPr="00F9226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§ 132 ods. 1 Obchodného zákonníka</w:t>
      </w:r>
      <w:r w:rsidR="00F9226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1DB97D59" w14:textId="77777777" w:rsidR="00792E41" w:rsidRDefault="00F92262" w:rsidP="00565FC1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alné zhromaždenie sa musí konať aspoň raz za kalendárny rok. </w:t>
      </w:r>
    </w:p>
    <w:p w14:paraId="1DB97D5A" w14:textId="77777777" w:rsidR="00F518C8" w:rsidRPr="00A33CC7" w:rsidRDefault="00F518C8" w:rsidP="00565FC1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Termín a program valného zhromaždenia spolo</w:t>
      </w:r>
      <w:r w:rsidR="00F9226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čnosti treba oznámiť spoločníkovi</w:t>
      </w: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najmenej </w:t>
      </w:r>
      <w:r w:rsidR="003C7E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päť</w:t>
      </w: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dní vopred. Valné zhromaždenie zvoláva konateľ spoločnosti písomnou pozvánkou. </w:t>
      </w:r>
    </w:p>
    <w:p w14:paraId="1DB97D5B" w14:textId="77777777" w:rsidR="00F518C8" w:rsidRPr="006A2D3A" w:rsidRDefault="00F92262" w:rsidP="00565FC1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povinnosťou spoločníka</w:t>
      </w:r>
      <w:r w:rsidR="00A33CC7"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F518C8"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zúčastniť sa na valnom zhromaždení </w:t>
      </w:r>
      <w:r w:rsidR="00A33CC7"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spoločnosti </w:t>
      </w:r>
      <w:r w:rsidR="00F518C8"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 alebo prostredníctvom svojho zástupcu</w:t>
      </w:r>
      <w:r w:rsidR="00F518C8"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6A2D3A"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Zástupca spoločníka sa musí preukázať na valnom zhromaždení plnomocenstvom oprávňujúcim ho na zastupovanie spoločníka. Podpis spoločníka na plnomocenstve musí byť úradne overený.</w:t>
      </w:r>
    </w:p>
    <w:p w14:paraId="1DB97D5C" w14:textId="77777777" w:rsidR="00792E41" w:rsidRPr="00792E41" w:rsidRDefault="00792E41" w:rsidP="00565FC1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Počet hlasov spoločníka sa určuje pomerom hodnoty jeho vkladu k výške základného imania spoločnosti.</w:t>
      </w:r>
    </w:p>
    <w:p w14:paraId="1DB97D5D" w14:textId="77777777" w:rsidR="00F518C8" w:rsidRPr="00792E41" w:rsidRDefault="00F518C8" w:rsidP="00565FC1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 pôsobnosti valného zhromaždenia patrí najmä:</w:t>
      </w:r>
    </w:p>
    <w:p w14:paraId="1DB97D5E" w14:textId="77777777" w:rsidR="00F518C8" w:rsidRPr="00792E41" w:rsidRDefault="00F518C8" w:rsidP="00565FC1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schválenie konaní urobených osobami konajúcimi v mene spoločnosti pred jej vznikom,</w:t>
      </w:r>
    </w:p>
    <w:p w14:paraId="1DB97D5F" w14:textId="77777777" w:rsidR="00792E41" w:rsidRPr="00792E41" w:rsidRDefault="00F518C8" w:rsidP="00565FC1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schvaľovanie riadnej individuálnej účtovnej závierky a mimoriadnej individuálnej účtovnej závierky, </w:t>
      </w:r>
    </w:p>
    <w:p w14:paraId="1DB97D60" w14:textId="77777777" w:rsidR="00F518C8" w:rsidRPr="00792E41" w:rsidRDefault="00792E41" w:rsidP="00565FC1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rozhodovanie</w:t>
      </w:r>
      <w:r w:rsidR="00F518C8"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rozdelení zisku a úhrade strát,</w:t>
      </w:r>
    </w:p>
    <w:p w14:paraId="1DB97D61" w14:textId="77777777" w:rsidR="00792E41" w:rsidRPr="00792E41" w:rsidRDefault="00792E41" w:rsidP="00565FC1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schvaľovanie stanov a ich zmien,</w:t>
      </w:r>
    </w:p>
    <w:p w14:paraId="1DB97D62" w14:textId="77777777" w:rsidR="00F518C8" w:rsidRPr="00792E41" w:rsidRDefault="00F518C8" w:rsidP="00565FC1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rozhodovanie o zmenách </w:t>
      </w:r>
      <w:r w:rsidR="003C7E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zakladateľskej listiny</w:t>
      </w: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1DB97D63" w14:textId="77777777" w:rsidR="00F518C8" w:rsidRPr="00792E41" w:rsidRDefault="00F518C8" w:rsidP="00565FC1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rozhodovanie o zvýšení alebo znížení základného imania spoločnosti a rozhodovanie o nepeňažnom vklade do základného imania spoločnosti,</w:t>
      </w:r>
    </w:p>
    <w:p w14:paraId="1DB97D64" w14:textId="77777777" w:rsidR="00F518C8" w:rsidRPr="00792E41" w:rsidRDefault="00F518C8" w:rsidP="00565FC1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vymenovanie, odvolanie a odmeňovanie konateľa alebo konateľov spoločnosti,</w:t>
      </w:r>
    </w:p>
    <w:p w14:paraId="1DB97D65" w14:textId="77777777" w:rsidR="00F518C8" w:rsidRPr="00792E41" w:rsidRDefault="00F518C8" w:rsidP="00565FC1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rozhodovanie o zrušení, zlúčení, splynutí a rozdelení spoločnosti a o zmene jej právnej formy,</w:t>
      </w:r>
    </w:p>
    <w:p w14:paraId="1DB97D66" w14:textId="77777777" w:rsidR="00792E41" w:rsidRDefault="00792E41" w:rsidP="00565FC1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rozhodovanie o schválení zmluvy o predaji podniku alebo zmluvy o predaji časti podniku,</w:t>
      </w:r>
    </w:p>
    <w:p w14:paraId="1DB97D67" w14:textId="77777777" w:rsidR="00792E41" w:rsidRPr="003C7EAB" w:rsidRDefault="00792E41" w:rsidP="00565FC1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C7E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rozhodovanie o prijatí úveru,</w:t>
      </w:r>
    </w:p>
    <w:p w14:paraId="1DB97D68" w14:textId="77777777" w:rsidR="00F518C8" w:rsidRPr="003C7EAB" w:rsidRDefault="00F518C8" w:rsidP="00565FC1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C7E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menovanie a odvolanie likvidátora,</w:t>
      </w:r>
    </w:p>
    <w:p w14:paraId="1DB97D69" w14:textId="77777777" w:rsidR="00F518C8" w:rsidRPr="003C7EAB" w:rsidRDefault="00F518C8" w:rsidP="00565FC1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3C7E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ďalšie otázky, o ktorých si vyhradí rozhodovanie valné zhromaždenie alebo ktoré do pôsobnosti valného zhromažden</w:t>
      </w:r>
      <w:r w:rsidR="00792E41" w:rsidRPr="003C7E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ia zveruje zákon</w:t>
      </w:r>
      <w:r w:rsidRPr="003C7E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táto </w:t>
      </w:r>
      <w:r w:rsidR="003C7EAB" w:rsidRPr="003C7E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zakladateľská listina</w:t>
      </w:r>
      <w:r w:rsidRPr="003C7E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1DB97D6A" w14:textId="77777777" w:rsidR="00792E41" w:rsidRPr="00F92262" w:rsidRDefault="00792E41" w:rsidP="00565FC1">
      <w:pPr>
        <w:pStyle w:val="Odsekzoznamu"/>
        <w:numPr>
          <w:ilvl w:val="0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Valné zhromaždenie je oprávnené uložiť spo</w:t>
      </w:r>
      <w:r w:rsidR="00F9226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ločníkovi</w:t>
      </w: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povinnosť prispieť na úhradu strát spoločnosti peňažným plnením nad výšku vkladu až do polovice základného imania </w:t>
      </w:r>
      <w:r w:rsidRPr="00F9226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podľa výšky </w:t>
      </w:r>
      <w:r w:rsidR="00F92262" w:rsidRPr="00F9226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svojho vkladu.</w:t>
      </w:r>
    </w:p>
    <w:p w14:paraId="1DB97D6E" w14:textId="77772794" w:rsidR="003C7EAB" w:rsidRPr="000E1277" w:rsidRDefault="00F518C8" w:rsidP="000E1277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9226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Valné zhromaždenie si môže vyhradiť</w:t>
      </w: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aj rozhodovanie </w:t>
      </w:r>
      <w:r w:rsidR="00792E41"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vecí, ktoré inak patria do pôsobnosti iných orgánov spoločnosti.</w:t>
      </w:r>
    </w:p>
    <w:p w14:paraId="3EA80DF2" w14:textId="77777777" w:rsidR="005E0D26" w:rsidRDefault="005E0D26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DB97D6F" w14:textId="28B83A79" w:rsidR="00F518C8" w:rsidRPr="00D930BB" w:rsidRDefault="00F518C8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93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Článok </w:t>
      </w:r>
      <w:r w:rsidR="00B82201" w:rsidRPr="00D93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</w:t>
      </w:r>
      <w:r w:rsidRPr="00D93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X</w:t>
      </w:r>
    </w:p>
    <w:p w14:paraId="1DB97D70" w14:textId="77777777" w:rsidR="00B82201" w:rsidRPr="00D930BB" w:rsidRDefault="006F093E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Práva a povinnosti spoločníka</w:t>
      </w:r>
    </w:p>
    <w:p w14:paraId="1DB97D71" w14:textId="77777777" w:rsidR="006A2D3A" w:rsidRPr="00EA5B18" w:rsidRDefault="006A2D3A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DB97D72" w14:textId="77777777" w:rsidR="00EA5B18" w:rsidRDefault="00EA5B18" w:rsidP="00565FC1">
      <w:pPr>
        <w:pStyle w:val="Odsekzoznamu"/>
        <w:numPr>
          <w:ilvl w:val="1"/>
          <w:numId w:val="15"/>
        </w:numPr>
        <w:shd w:val="clear" w:color="auto" w:fill="FFFFFF"/>
        <w:tabs>
          <w:tab w:val="clear" w:pos="144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A5B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Spoločnosť zodpovedá za porušenie svojich záväzkov c</w:t>
      </w:r>
      <w:r w:rsidR="00E743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elým svojím majetkom. Spoločník ručí</w:t>
      </w:r>
      <w:r w:rsidRPr="00EA5B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 záväzky spoločnosti do výšky svojho nesplateného vkladu zapísaného v obchodnom registri.</w:t>
      </w:r>
    </w:p>
    <w:p w14:paraId="1DB97D73" w14:textId="77777777" w:rsidR="006A2D3A" w:rsidRDefault="00E74381" w:rsidP="00565FC1">
      <w:pPr>
        <w:pStyle w:val="Odsekzoznamu"/>
        <w:numPr>
          <w:ilvl w:val="1"/>
          <w:numId w:val="15"/>
        </w:numPr>
        <w:shd w:val="clear" w:color="auto" w:fill="FFFFFF"/>
        <w:tabs>
          <w:tab w:val="clear" w:pos="144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Spoločník je</w:t>
      </w:r>
      <w:r w:rsidR="006A2D3A"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oprávne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ný</w:t>
      </w:r>
      <w:r w:rsid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požadovať od konateľa</w:t>
      </w:r>
      <w:r w:rsidR="006A2D3A"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spoločnosti informácie o záležitostiach spoločnosti a nahliadať do dokladov spoločnosti.</w:t>
      </w:r>
    </w:p>
    <w:p w14:paraId="1DB97D75" w14:textId="1D7BC885" w:rsidR="00B82201" w:rsidRPr="000E1277" w:rsidRDefault="00E74381" w:rsidP="00565FC1">
      <w:pPr>
        <w:pStyle w:val="Odsekzoznamu"/>
        <w:numPr>
          <w:ilvl w:val="1"/>
          <w:numId w:val="15"/>
        </w:numPr>
        <w:shd w:val="clear" w:color="auto" w:fill="FFFFFF"/>
        <w:tabs>
          <w:tab w:val="clear" w:pos="144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="006A2D3A"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poločník je oprávnený v mene spoločnosti uplatniť nároky na náhradu škody alebo iné nároky, ktoré má spoločnosť voči konateľovi. To neplatí, ak spoločnosť už tieto nároky uplatňuje.</w:t>
      </w:r>
    </w:p>
    <w:p w14:paraId="3DB7D1D4" w14:textId="77777777" w:rsidR="005E0D26" w:rsidRDefault="005E0D26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DB97D76" w14:textId="502BDC86" w:rsidR="00B82201" w:rsidRPr="006D3FF7" w:rsidRDefault="00BD6C09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X</w:t>
      </w:r>
    </w:p>
    <w:p w14:paraId="1DB97D77" w14:textId="77777777" w:rsidR="00F518C8" w:rsidRPr="006D3FF7" w:rsidRDefault="00F518C8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6D3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Rezervný fond</w:t>
      </w:r>
    </w:p>
    <w:p w14:paraId="1DB97D78" w14:textId="77777777" w:rsidR="006D3FF7" w:rsidRPr="006D3FF7" w:rsidRDefault="00F518C8" w:rsidP="00565FC1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Spoločnosť je povinná vytvoriť rezervný fond z čistého zisku vykázaného v riadnej účtovnej závierke za rok, v ktorom sa zisk po prvý raz vytvorí, a to vo výške najmenej 5</w:t>
      </w:r>
      <w:r w:rsidR="006F09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% z čistého zisku, najviac vo výške 10</w:t>
      </w:r>
      <w:r w:rsidR="006F09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% základného imania. </w:t>
      </w:r>
    </w:p>
    <w:p w14:paraId="1DB97D79" w14:textId="77777777" w:rsidR="00F518C8" w:rsidRPr="006D3FF7" w:rsidRDefault="00F518C8" w:rsidP="00565FC1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Rezervný fond </w:t>
      </w:r>
      <w:r w:rsidR="006D3FF7"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spoločnosť povinná každo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ročne dopĺňa</w:t>
      </w:r>
      <w:r w:rsidR="006D3FF7"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ť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</w:t>
      </w:r>
      <w:r w:rsidR="006F09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="006F09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% z čistého zisku spoločnosti vyčísleného v ročnej účtovnej závierke, a to až kým nedosiahne výšku 10</w:t>
      </w:r>
      <w:r w:rsidR="006F093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% základného imania.</w:t>
      </w:r>
    </w:p>
    <w:p w14:paraId="1DB97D7A" w14:textId="77777777" w:rsidR="00F518C8" w:rsidRDefault="00F518C8" w:rsidP="00565FC1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použití rezervného fond</w:t>
      </w:r>
      <w:r w:rsidR="00B82201"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 rozhoduje konateľ spoločnosti.</w:t>
      </w:r>
      <w:r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82201"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V rozsahu, v ktorom sa vytvára povinne, možno rezervný fond použiť iba na krytie strát spoločnosti.</w:t>
      </w:r>
    </w:p>
    <w:p w14:paraId="52055D51" w14:textId="77777777" w:rsidR="005E0D26" w:rsidRDefault="005E0D26" w:rsidP="005E0D2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DB97D7C" w14:textId="021A9CFE" w:rsidR="00F518C8" w:rsidRPr="005E0D26" w:rsidRDefault="00F518C8" w:rsidP="005E0D2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D3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XI</w:t>
      </w:r>
    </w:p>
    <w:p w14:paraId="1DB97D7D" w14:textId="77777777" w:rsidR="006D3FF7" w:rsidRDefault="006D3FF7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Ďalšie dojednania</w:t>
      </w:r>
    </w:p>
    <w:p w14:paraId="1DB97D7E" w14:textId="77777777" w:rsidR="00B82201" w:rsidRDefault="00B82201" w:rsidP="00565FC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DB97D7F" w14:textId="77777777" w:rsidR="006D3FF7" w:rsidRPr="00B82201" w:rsidRDefault="006D3FF7" w:rsidP="00565FC1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Osobám podieľajúcim sa na založení spoločnosti a</w:t>
      </w:r>
      <w:r w:rsidR="00AD18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lebo</w:t>
      </w:r>
      <w:r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na prípadných činnostiach smerujúcich k nadobudnutiu oprávnenia na jej činnosť neboli poskytnuté žiadne výhody.</w:t>
      </w:r>
    </w:p>
    <w:p w14:paraId="1DB97D81" w14:textId="18901B37" w:rsidR="00AD18D4" w:rsidRPr="005E0D26" w:rsidRDefault="006D3FF7" w:rsidP="005E0D26">
      <w:pPr>
        <w:numPr>
          <w:ilvl w:val="0"/>
          <w:numId w:val="2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Predpokladané náklady spoločnosti súvisiace so založením spoločnosti a jej vznikom </w:t>
      </w:r>
      <w:r w:rsidR="00B82201"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</w:t>
      </w:r>
      <w:r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vo výške </w:t>
      </w:r>
      <w:r w:rsidR="00B82201"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 eur (slovom: .................. eur)</w:t>
      </w:r>
      <w:r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68306086" w14:textId="77777777" w:rsidR="005E0D26" w:rsidRDefault="005E0D26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1DB97D82" w14:textId="32D9CA3D" w:rsidR="00AD18D4" w:rsidRPr="00AD18D4" w:rsidRDefault="00BD6C09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XII</w:t>
      </w:r>
    </w:p>
    <w:p w14:paraId="1DB97D83" w14:textId="77777777" w:rsidR="00AD18D4" w:rsidRPr="00AD18D4" w:rsidRDefault="00AD18D4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AD1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Doba trvania spoločnosti, zrušenie a zánik spoločnosti</w:t>
      </w:r>
    </w:p>
    <w:p w14:paraId="1DB97D84" w14:textId="77777777" w:rsidR="00AD18D4" w:rsidRPr="006D3FF7" w:rsidRDefault="00AD18D4" w:rsidP="00565FC1">
      <w:pPr>
        <w:numPr>
          <w:ilvl w:val="0"/>
          <w:numId w:val="19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Spoločnosť sa zakladá na dobu neurčitú.</w:t>
      </w:r>
    </w:p>
    <w:p w14:paraId="1DB97D86" w14:textId="49A24920" w:rsidR="006D3FF7" w:rsidRPr="005E0D26" w:rsidRDefault="00AD18D4" w:rsidP="00565FC1">
      <w:pPr>
        <w:numPr>
          <w:ilvl w:val="0"/>
          <w:numId w:val="19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A5B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Spoločnosť sa zrušuje z dôvodov uvedených v § 68 Obchodného zákonníka a ďalších dôvodov uvedených v Obchodnom zákonníku.</w:t>
      </w:r>
    </w:p>
    <w:p w14:paraId="7E9CD21B" w14:textId="77777777" w:rsidR="005E0D26" w:rsidRDefault="005E0D26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1DB97D87" w14:textId="22F3D0C5" w:rsidR="006D3FF7" w:rsidRPr="006D3FF7" w:rsidRDefault="00BD6C09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Článok XIII</w:t>
      </w:r>
    </w:p>
    <w:p w14:paraId="1DB97D88" w14:textId="77777777" w:rsidR="00F518C8" w:rsidRPr="006D3FF7" w:rsidRDefault="00F518C8" w:rsidP="00565F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6D3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Záverečné ustanovenia</w:t>
      </w:r>
    </w:p>
    <w:p w14:paraId="1DB97D89" w14:textId="77777777" w:rsidR="00F518C8" w:rsidRPr="006D3FF7" w:rsidRDefault="00F518C8" w:rsidP="00565FC1">
      <w:pPr>
        <w:numPr>
          <w:ilvl w:val="0"/>
          <w:numId w:val="2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Spoločnosť nevydáva stanovy.</w:t>
      </w:r>
    </w:p>
    <w:p w14:paraId="1DB97D8A" w14:textId="77777777" w:rsidR="00F518C8" w:rsidRPr="006D3FF7" w:rsidRDefault="00F518C8" w:rsidP="00565FC1">
      <w:pPr>
        <w:numPr>
          <w:ilvl w:val="0"/>
          <w:numId w:val="2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Táto </w:t>
      </w:r>
      <w:r w:rsidR="00E743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zakladateľská listina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vyhotovená v </w:t>
      </w:r>
      <w:r w:rsidR="00E743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4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rovnopisoch</w:t>
      </w:r>
      <w:r w:rsid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z toho jeden rovnopis je určený pre príslušný obchodný register, jeden sa založí do zbierky listín, jeden rovnopis dostane </w:t>
      </w:r>
      <w:r w:rsidR="00E743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spoločník</w:t>
      </w:r>
      <w:r w:rsid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jeden sa založí do archívu spoločnosti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1DB97D8B" w14:textId="77777777" w:rsidR="00F518C8" w:rsidRPr="006D3FF7" w:rsidRDefault="00E74381" w:rsidP="00565FC1">
      <w:pPr>
        <w:numPr>
          <w:ilvl w:val="0"/>
          <w:numId w:val="2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Zakladateľskú listinu</w:t>
      </w:r>
      <w:r w:rsidR="006D3FF7"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možné meniť iba na základe rozhodnutia valného zhromaždenia v </w:t>
      </w:r>
      <w:r w:rsidR="006D3FF7" w:rsidRPr="003C7E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súlade s čl. </w:t>
      </w:r>
      <w:r w:rsidR="00D930BB" w:rsidRPr="003C7E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VIII bodom 6</w:t>
      </w:r>
      <w:r w:rsidR="006D3FF7" w:rsidRPr="003C7E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tejto</w:t>
      </w:r>
      <w:r w:rsidR="006D3FF7"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3C7E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zakladateľskej listiny</w:t>
      </w:r>
      <w:r w:rsidR="00BB340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6D3FF7"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="00F518C8"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mena sa vykoná písomnými dodatkami k tejto </w:t>
      </w:r>
      <w:r w:rsidR="003C7EA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listine</w:t>
      </w:r>
      <w:r w:rsidR="00F518C8"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1DB97D8C" w14:textId="77777777" w:rsidR="006D3FF7" w:rsidRPr="006D3FF7" w:rsidRDefault="006D3FF7" w:rsidP="00565FC1">
      <w:pPr>
        <w:numPr>
          <w:ilvl w:val="0"/>
          <w:numId w:val="2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 </w:t>
      </w:r>
      <w:r w:rsidR="00E743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sa 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niektoré ustanovenie tejto </w:t>
      </w:r>
      <w:r w:rsidR="00E743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listiny 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stane neplatným, ostatné ustanovenia tejto </w:t>
      </w:r>
      <w:r w:rsidR="00E743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listiny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zostávajú naďalej v platnosti, pričom za neplatné bude možné považovať len to 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ustanovenie, ktorého sa dôvod neplatnosti týka. V prípade neplatnosti ustanovenia sa </w:t>
      </w:r>
      <w:r w:rsidR="00E743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účastníci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zaväzujú neplatné ustanovenie nahradiť novým, ktoré bude v súlade so všeobecne záväznými právnymi predpismi Slovenskej republiky a zároveň bude zodpovedať účelu tejto </w:t>
      </w:r>
      <w:r w:rsidR="00E743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listiny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1DB97D8E" w14:textId="74567713" w:rsidR="006D3FF7" w:rsidRPr="00565FC1" w:rsidRDefault="00F518C8" w:rsidP="00565FC1">
      <w:pPr>
        <w:numPr>
          <w:ilvl w:val="0"/>
          <w:numId w:val="2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Vzťahy neupravené v tejto </w:t>
      </w:r>
      <w:r w:rsidR="00E7438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zakladateľskej listine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sa budú spravovať príslušnými ustanoveniami Obchodného zákonníka.</w:t>
      </w:r>
    </w:p>
    <w:tbl>
      <w:tblPr>
        <w:tblpPr w:leftFromText="141" w:rightFromText="141" w:vertAnchor="text" w:tblpX="4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31"/>
      </w:tblGrid>
      <w:tr w:rsidR="00565FC1" w:rsidRPr="00E64627" w14:paraId="24DA9219" w14:textId="77777777" w:rsidTr="00221428">
        <w:tc>
          <w:tcPr>
            <w:tcW w:w="4431" w:type="dxa"/>
            <w:shd w:val="clear" w:color="auto" w:fill="auto"/>
          </w:tcPr>
          <w:p w14:paraId="3880180B" w14:textId="61354D05" w:rsidR="00565FC1" w:rsidRDefault="00565FC1" w:rsidP="00221428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D8925B" w14:textId="77777777" w:rsidR="005E0D26" w:rsidRPr="0024289E" w:rsidRDefault="005E0D26" w:rsidP="00221428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271FEF" w14:textId="77777777" w:rsidR="00565FC1" w:rsidRPr="0024289E" w:rsidRDefault="00565FC1" w:rsidP="00221428">
            <w:pPr>
              <w:tabs>
                <w:tab w:val="left" w:pos="284"/>
              </w:tabs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89E">
              <w:rPr>
                <w:rFonts w:ascii="Times New Roman" w:hAnsi="Times New Roman"/>
                <w:sz w:val="24"/>
                <w:szCs w:val="24"/>
              </w:rPr>
              <w:t>V ......................., dňa: ...................</w:t>
            </w:r>
          </w:p>
        </w:tc>
      </w:tr>
      <w:tr w:rsidR="00565FC1" w:rsidRPr="00E64627" w14:paraId="5557EAF2" w14:textId="77777777" w:rsidTr="00221428">
        <w:trPr>
          <w:trHeight w:val="1261"/>
        </w:trPr>
        <w:tc>
          <w:tcPr>
            <w:tcW w:w="4431" w:type="dxa"/>
            <w:shd w:val="clear" w:color="auto" w:fill="auto"/>
            <w:vAlign w:val="bottom"/>
          </w:tcPr>
          <w:p w14:paraId="70239FB2" w14:textId="49C1B39C" w:rsidR="00565FC1" w:rsidRPr="0024289E" w:rsidRDefault="00565FC1" w:rsidP="0022142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289E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</w:t>
            </w:r>
          </w:p>
        </w:tc>
      </w:tr>
      <w:tr w:rsidR="00565FC1" w:rsidRPr="00E64627" w14:paraId="5C862CB7" w14:textId="77777777" w:rsidTr="00221428">
        <w:trPr>
          <w:trHeight w:val="463"/>
        </w:trPr>
        <w:tc>
          <w:tcPr>
            <w:tcW w:w="4431" w:type="dxa"/>
            <w:shd w:val="clear" w:color="auto" w:fill="auto"/>
          </w:tcPr>
          <w:p w14:paraId="28DD315D" w14:textId="217181B2" w:rsidR="00565FC1" w:rsidRPr="0024289E" w:rsidRDefault="00565FC1" w:rsidP="00221428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FF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eno a priezvisko spoločníka</w:t>
            </w:r>
          </w:p>
        </w:tc>
      </w:tr>
    </w:tbl>
    <w:p w14:paraId="5B49C7BA" w14:textId="77777777" w:rsidR="00565FC1" w:rsidRPr="006D3FF7" w:rsidRDefault="00565FC1" w:rsidP="006A65BC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sk-SK"/>
        </w:rPr>
      </w:pPr>
    </w:p>
    <w:p w14:paraId="1DB97D93" w14:textId="708D07A0" w:rsidR="006D3FF7" w:rsidRPr="006D3FF7" w:rsidRDefault="006A65BC" w:rsidP="006A6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DB97D94" w14:textId="77777777" w:rsidR="006D3FF7" w:rsidRPr="006D3FF7" w:rsidRDefault="006D3FF7" w:rsidP="006A65BC">
      <w:pPr>
        <w:jc w:val="both"/>
        <w:rPr>
          <w:rFonts w:ascii="Times New Roman" w:hAnsi="Times New Roman" w:cs="Times New Roman"/>
          <w:sz w:val="24"/>
          <w:szCs w:val="24"/>
        </w:rPr>
      </w:pPr>
      <w:r w:rsidRPr="006D3FF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D3FF7" w:rsidRPr="006D3F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FA154" w14:textId="77777777" w:rsidR="004156A1" w:rsidRDefault="004156A1" w:rsidP="004156A1">
      <w:pPr>
        <w:spacing w:after="0" w:line="240" w:lineRule="auto"/>
      </w:pPr>
      <w:r>
        <w:separator/>
      </w:r>
    </w:p>
  </w:endnote>
  <w:endnote w:type="continuationSeparator" w:id="0">
    <w:p w14:paraId="6BED9D32" w14:textId="77777777" w:rsidR="004156A1" w:rsidRDefault="004156A1" w:rsidP="00415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85504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EFA812" w14:textId="58B353C9" w:rsidR="00A766F1" w:rsidRDefault="00A766F1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5E5468" w14:textId="77777777" w:rsidR="004156A1" w:rsidRDefault="004156A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46FA3" w14:textId="77777777" w:rsidR="004156A1" w:rsidRDefault="004156A1" w:rsidP="004156A1">
      <w:pPr>
        <w:spacing w:after="0" w:line="240" w:lineRule="auto"/>
      </w:pPr>
      <w:r>
        <w:separator/>
      </w:r>
    </w:p>
  </w:footnote>
  <w:footnote w:type="continuationSeparator" w:id="0">
    <w:p w14:paraId="2F31A0EF" w14:textId="77777777" w:rsidR="004156A1" w:rsidRDefault="004156A1" w:rsidP="00415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BF776" w14:textId="77777777" w:rsidR="004156A1" w:rsidRPr="003864F4" w:rsidRDefault="004156A1" w:rsidP="004156A1">
    <w:pPr>
      <w:pStyle w:val="Hlavika"/>
      <w:jc w:val="right"/>
    </w:pPr>
    <w:r w:rsidRPr="003864F4">
      <w:rPr>
        <w:noProof/>
      </w:rPr>
      <w:drawing>
        <wp:anchor distT="0" distB="0" distL="114300" distR="114300" simplePos="0" relativeHeight="251659264" behindDoc="1" locked="0" layoutInCell="1" allowOverlap="1" wp14:anchorId="18F130D4" wp14:editId="77EAE903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4F4">
      <w:t>VZOROVÁ ZMLUVA</w:t>
    </w:r>
  </w:p>
  <w:p w14:paraId="09E0A873" w14:textId="77777777" w:rsidR="004156A1" w:rsidRDefault="004156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520A"/>
    <w:multiLevelType w:val="multilevel"/>
    <w:tmpl w:val="FF1EC1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DF1886"/>
    <w:multiLevelType w:val="multilevel"/>
    <w:tmpl w:val="1D689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814826"/>
    <w:multiLevelType w:val="multilevel"/>
    <w:tmpl w:val="548E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91371"/>
    <w:multiLevelType w:val="multilevel"/>
    <w:tmpl w:val="24866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abstractNum w:abstractNumId="4" w15:restartNumberingAfterBreak="0">
    <w:nsid w:val="15727585"/>
    <w:multiLevelType w:val="multilevel"/>
    <w:tmpl w:val="7E6C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E5C48"/>
    <w:multiLevelType w:val="multilevel"/>
    <w:tmpl w:val="0D24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866EC8"/>
    <w:multiLevelType w:val="multilevel"/>
    <w:tmpl w:val="6456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B162C"/>
    <w:multiLevelType w:val="multilevel"/>
    <w:tmpl w:val="AF4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2A53BF"/>
    <w:multiLevelType w:val="multilevel"/>
    <w:tmpl w:val="0BC2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54A2A"/>
    <w:multiLevelType w:val="multilevel"/>
    <w:tmpl w:val="F4502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244102"/>
    <w:multiLevelType w:val="multilevel"/>
    <w:tmpl w:val="61ECF3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786D2E"/>
    <w:multiLevelType w:val="multilevel"/>
    <w:tmpl w:val="83BAF3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8C56CF"/>
    <w:multiLevelType w:val="multilevel"/>
    <w:tmpl w:val="2B8C56CF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3422CA8"/>
    <w:multiLevelType w:val="multilevel"/>
    <w:tmpl w:val="DFCC49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B207C1B"/>
    <w:multiLevelType w:val="multilevel"/>
    <w:tmpl w:val="3B207C1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52132"/>
    <w:multiLevelType w:val="multilevel"/>
    <w:tmpl w:val="58F89FCE"/>
    <w:lvl w:ilvl="0">
      <w:start w:val="1"/>
      <w:numFmt w:val="decimal"/>
      <w:lvlText w:val="%1"/>
      <w:lvlJc w:val="left"/>
      <w:pPr>
        <w:ind w:left="486" w:hanging="48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5" w:hanging="48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A1C4CFB"/>
    <w:multiLevelType w:val="hybridMultilevel"/>
    <w:tmpl w:val="D37E1A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E034C8"/>
    <w:multiLevelType w:val="hybridMultilevel"/>
    <w:tmpl w:val="7EFAD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432FE"/>
    <w:multiLevelType w:val="multilevel"/>
    <w:tmpl w:val="D57CA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A439D0"/>
    <w:multiLevelType w:val="multilevel"/>
    <w:tmpl w:val="2BB4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2555AA"/>
    <w:multiLevelType w:val="multilevel"/>
    <w:tmpl w:val="39D87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671B02"/>
    <w:multiLevelType w:val="multilevel"/>
    <w:tmpl w:val="6AD4D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C4F16E0"/>
    <w:multiLevelType w:val="multilevel"/>
    <w:tmpl w:val="9A4E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0553A3"/>
    <w:multiLevelType w:val="multilevel"/>
    <w:tmpl w:val="DCB4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4208A8"/>
    <w:multiLevelType w:val="multilevel"/>
    <w:tmpl w:val="A3EE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CB6880"/>
    <w:multiLevelType w:val="multilevel"/>
    <w:tmpl w:val="ADCE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125D5F"/>
    <w:multiLevelType w:val="multilevel"/>
    <w:tmpl w:val="C240BC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852275"/>
    <w:multiLevelType w:val="multilevel"/>
    <w:tmpl w:val="2946B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0F2AB8"/>
    <w:multiLevelType w:val="multilevel"/>
    <w:tmpl w:val="0ED08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8"/>
  </w:num>
  <w:num w:numId="3">
    <w:abstractNumId w:val="26"/>
  </w:num>
  <w:num w:numId="4">
    <w:abstractNumId w:val="11"/>
  </w:num>
  <w:num w:numId="5">
    <w:abstractNumId w:val="20"/>
  </w:num>
  <w:num w:numId="6">
    <w:abstractNumId w:val="2"/>
  </w:num>
  <w:num w:numId="7">
    <w:abstractNumId w:val="24"/>
  </w:num>
  <w:num w:numId="8">
    <w:abstractNumId w:val="9"/>
  </w:num>
  <w:num w:numId="9">
    <w:abstractNumId w:val="28"/>
  </w:num>
  <w:num w:numId="10">
    <w:abstractNumId w:val="8"/>
  </w:num>
  <w:num w:numId="11">
    <w:abstractNumId w:val="6"/>
  </w:num>
  <w:num w:numId="12">
    <w:abstractNumId w:val="23"/>
  </w:num>
  <w:num w:numId="13">
    <w:abstractNumId w:val="10"/>
  </w:num>
  <w:num w:numId="14">
    <w:abstractNumId w:val="27"/>
  </w:num>
  <w:num w:numId="15">
    <w:abstractNumId w:val="4"/>
  </w:num>
  <w:num w:numId="16">
    <w:abstractNumId w:val="7"/>
  </w:num>
  <w:num w:numId="17">
    <w:abstractNumId w:val="7"/>
    <w:lvlOverride w:ilvl="1">
      <w:lvl w:ilvl="1">
        <w:numFmt w:val="decimal"/>
        <w:lvlText w:val="%2."/>
        <w:lvlJc w:val="left"/>
      </w:lvl>
    </w:lvlOverride>
  </w:num>
  <w:num w:numId="18">
    <w:abstractNumId w:val="25"/>
  </w:num>
  <w:num w:numId="19">
    <w:abstractNumId w:val="5"/>
  </w:num>
  <w:num w:numId="20">
    <w:abstractNumId w:val="22"/>
  </w:num>
  <w:num w:numId="21">
    <w:abstractNumId w:val="1"/>
  </w:num>
  <w:num w:numId="22">
    <w:abstractNumId w:val="13"/>
  </w:num>
  <w:num w:numId="23">
    <w:abstractNumId w:val="3"/>
  </w:num>
  <w:num w:numId="24">
    <w:abstractNumId w:val="21"/>
  </w:num>
  <w:num w:numId="25">
    <w:abstractNumId w:val="0"/>
  </w:num>
  <w:num w:numId="26">
    <w:abstractNumId w:val="17"/>
  </w:num>
  <w:num w:numId="27">
    <w:abstractNumId w:val="16"/>
  </w:num>
  <w:num w:numId="28">
    <w:abstractNumId w:val="12"/>
  </w:num>
  <w:num w:numId="29">
    <w:abstractNumId w:val="14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8C8"/>
    <w:rsid w:val="00042812"/>
    <w:rsid w:val="00074547"/>
    <w:rsid w:val="000E1277"/>
    <w:rsid w:val="00290564"/>
    <w:rsid w:val="003C7EAB"/>
    <w:rsid w:val="004156A1"/>
    <w:rsid w:val="00480363"/>
    <w:rsid w:val="00565FC1"/>
    <w:rsid w:val="005E0D26"/>
    <w:rsid w:val="006A2D3A"/>
    <w:rsid w:val="006A65BC"/>
    <w:rsid w:val="006D3FF7"/>
    <w:rsid w:val="006F093E"/>
    <w:rsid w:val="00792E41"/>
    <w:rsid w:val="007A568D"/>
    <w:rsid w:val="00824974"/>
    <w:rsid w:val="008B4146"/>
    <w:rsid w:val="00A33CC7"/>
    <w:rsid w:val="00A766F1"/>
    <w:rsid w:val="00AD18D4"/>
    <w:rsid w:val="00B4096B"/>
    <w:rsid w:val="00B46520"/>
    <w:rsid w:val="00B82201"/>
    <w:rsid w:val="00BA39A4"/>
    <w:rsid w:val="00BB3407"/>
    <w:rsid w:val="00BD6C09"/>
    <w:rsid w:val="00BF6A48"/>
    <w:rsid w:val="00C1308D"/>
    <w:rsid w:val="00CB4829"/>
    <w:rsid w:val="00D930BB"/>
    <w:rsid w:val="00DA67C5"/>
    <w:rsid w:val="00E05008"/>
    <w:rsid w:val="00E32404"/>
    <w:rsid w:val="00E62D99"/>
    <w:rsid w:val="00E74381"/>
    <w:rsid w:val="00EA5B18"/>
    <w:rsid w:val="00F518C8"/>
    <w:rsid w:val="00F92262"/>
    <w:rsid w:val="00FA0283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B97D04"/>
  <w15:docId w15:val="{1E6B0902-EC85-4566-BE47-F52CA9DE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5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F518C8"/>
    <w:rPr>
      <w:b/>
      <w:bCs/>
    </w:rPr>
  </w:style>
  <w:style w:type="paragraph" w:styleId="Odsekzoznamu">
    <w:name w:val="List Paragraph"/>
    <w:basedOn w:val="Normlny"/>
    <w:uiPriority w:val="34"/>
    <w:qFormat/>
    <w:rsid w:val="00F518C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65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65FC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415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156A1"/>
  </w:style>
  <w:style w:type="paragraph" w:styleId="Pta">
    <w:name w:val="footer"/>
    <w:basedOn w:val="Normlny"/>
    <w:link w:val="PtaChar"/>
    <w:uiPriority w:val="99"/>
    <w:unhideWhenUsed/>
    <w:rsid w:val="004156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15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1812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 Tomáš JUDr.</dc:creator>
  <cp:lastModifiedBy>Rastislav Tinák</cp:lastModifiedBy>
  <cp:revision>8</cp:revision>
  <dcterms:created xsi:type="dcterms:W3CDTF">2019-12-13T06:28:00Z</dcterms:created>
  <dcterms:modified xsi:type="dcterms:W3CDTF">2019-12-28T11:47:00Z</dcterms:modified>
</cp:coreProperties>
</file>